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D785A" w:rsidRDefault="0045158F">
      <w:pPr>
        <w:widowControl w:val="0"/>
        <w:ind w:right="5035"/>
        <w:jc w:val="both"/>
        <w:rPr>
          <w:b/>
          <w:sz w:val="28"/>
          <w:szCs w:val="28"/>
        </w:rPr>
      </w:pPr>
      <w:bookmarkStart w:id="0" w:name="_GoBack"/>
      <w:bookmarkEnd w:id="0"/>
      <w:r>
        <w:rPr>
          <w:b/>
          <w:sz w:val="28"/>
          <w:szCs w:val="28"/>
        </w:rPr>
        <w:t>Secondary Education Report</w:t>
      </w:r>
    </w:p>
    <w:p w14:paraId="00000002" w14:textId="77777777" w:rsidR="00FD785A" w:rsidRDefault="0045158F">
      <w:pPr>
        <w:widowControl w:val="0"/>
        <w:ind w:right="5035"/>
        <w:jc w:val="both"/>
      </w:pPr>
      <w:r>
        <w:t xml:space="preserve">Needs and gaps assessment </w:t>
      </w:r>
      <w:proofErr w:type="spellStart"/>
      <w:r>
        <w:t>Nakivale</w:t>
      </w:r>
      <w:proofErr w:type="spellEnd"/>
      <w:r>
        <w:t xml:space="preserve"> </w:t>
      </w:r>
    </w:p>
    <w:p w14:paraId="00000003" w14:textId="77777777" w:rsidR="00FD785A" w:rsidRDefault="00FD785A">
      <w:pPr>
        <w:widowControl w:val="0"/>
        <w:pBdr>
          <w:top w:val="nil"/>
          <w:left w:val="nil"/>
          <w:bottom w:val="nil"/>
          <w:right w:val="nil"/>
          <w:between w:val="nil"/>
        </w:pBdr>
        <w:ind w:right="24"/>
        <w:jc w:val="both"/>
      </w:pPr>
    </w:p>
    <w:p w14:paraId="00000004" w14:textId="77777777" w:rsidR="00FD785A" w:rsidRDefault="0045158F">
      <w:pPr>
        <w:widowControl w:val="0"/>
        <w:pBdr>
          <w:top w:val="nil"/>
          <w:left w:val="nil"/>
          <w:bottom w:val="nil"/>
          <w:right w:val="nil"/>
          <w:between w:val="nil"/>
        </w:pBdr>
        <w:ind w:right="24"/>
        <w:jc w:val="both"/>
        <w:rPr>
          <w:color w:val="000000"/>
        </w:rPr>
      </w:pPr>
      <w:proofErr w:type="spellStart"/>
      <w:r>
        <w:rPr>
          <w:color w:val="000000"/>
        </w:rPr>
        <w:t>Nakivale</w:t>
      </w:r>
      <w:proofErr w:type="spellEnd"/>
      <w:r>
        <w:rPr>
          <w:color w:val="000000"/>
        </w:rPr>
        <w:t xml:space="preserve"> refugee settlement, officially established in 1960, is one of two that reside in the</w:t>
      </w:r>
      <w:r>
        <w:t xml:space="preserve"> </w:t>
      </w:r>
      <w:proofErr w:type="spellStart"/>
      <w:r>
        <w:rPr>
          <w:color w:val="000000"/>
        </w:rPr>
        <w:t>Isingiro</w:t>
      </w:r>
      <w:proofErr w:type="spellEnd"/>
      <w:r>
        <w:rPr>
          <w:color w:val="000000"/>
        </w:rPr>
        <w:t xml:space="preserve"> district of South Western Uganda, bordering Tanzania. </w:t>
      </w:r>
      <w:proofErr w:type="spellStart"/>
      <w:r>
        <w:rPr>
          <w:color w:val="000000"/>
        </w:rPr>
        <w:t>Isingiro</w:t>
      </w:r>
      <w:proofErr w:type="spellEnd"/>
      <w:r>
        <w:rPr>
          <w:color w:val="000000"/>
        </w:rPr>
        <w:t xml:space="preserve"> is the fifth largest refugee hosting district in Uganda, also home to the far smaller </w:t>
      </w:r>
      <w:proofErr w:type="spellStart"/>
      <w:r>
        <w:rPr>
          <w:color w:val="000000"/>
        </w:rPr>
        <w:t>Oruchinga</w:t>
      </w:r>
      <w:proofErr w:type="spellEnd"/>
      <w:r>
        <w:rPr>
          <w:color w:val="000000"/>
        </w:rPr>
        <w:t xml:space="preserve"> settlement with a population of 7,546, of which 1,182 are aged 12-17 (UNHCR, June 2019). </w:t>
      </w:r>
      <w:r>
        <w:rPr>
          <w:b/>
          <w:color w:val="000000"/>
        </w:rPr>
        <w:t xml:space="preserve">UNHCR </w:t>
      </w:r>
      <w:r>
        <w:rPr>
          <w:color w:val="000000"/>
        </w:rPr>
        <w:t xml:space="preserve">reports that </w:t>
      </w:r>
      <w:proofErr w:type="spellStart"/>
      <w:r>
        <w:rPr>
          <w:color w:val="000000"/>
        </w:rPr>
        <w:t>Nakivale</w:t>
      </w:r>
      <w:proofErr w:type="spellEnd"/>
      <w:r>
        <w:rPr>
          <w:color w:val="000000"/>
        </w:rPr>
        <w:t xml:space="preserve"> settlement currently has 113,468 refugee inhabitants, 16,870 of which are aged between 12-17 (June, 2019). Despite this, there is </w:t>
      </w:r>
      <w:r>
        <w:rPr>
          <w:b/>
          <w:color w:val="000000"/>
        </w:rPr>
        <w:t xml:space="preserve">just one secondary school </w:t>
      </w:r>
      <w:r>
        <w:rPr>
          <w:color w:val="000000"/>
        </w:rPr>
        <w:t xml:space="preserve">in the settlement, serving just 813 of </w:t>
      </w:r>
      <w:proofErr w:type="spellStart"/>
      <w:r>
        <w:rPr>
          <w:color w:val="000000"/>
        </w:rPr>
        <w:t>Nakivale’s</w:t>
      </w:r>
      <w:proofErr w:type="spellEnd"/>
      <w:r>
        <w:rPr>
          <w:color w:val="000000"/>
        </w:rPr>
        <w:t xml:space="preserve"> secondary-aged students (UNHCR, June 2018). Contrastingly, there are 5 primary schools within </w:t>
      </w:r>
      <w:proofErr w:type="spellStart"/>
      <w:r>
        <w:rPr>
          <w:color w:val="000000"/>
        </w:rPr>
        <w:t>Nakivale</w:t>
      </w:r>
      <w:proofErr w:type="spellEnd"/>
      <w:r>
        <w:rPr>
          <w:color w:val="000000"/>
        </w:rPr>
        <w:t xml:space="preserve">, meaning that of those who graduate from these 5 primary schools, the single secondary school will only have the capacity to host a limited number. The high student-aged population has led to overcrowding and low teacher to student ratios, in turn damaging the performance of those fortunate enough to study in the </w:t>
      </w:r>
      <w:proofErr w:type="spellStart"/>
      <w:r>
        <w:rPr>
          <w:color w:val="000000"/>
        </w:rPr>
        <w:t>settlement.This</w:t>
      </w:r>
      <w:proofErr w:type="spellEnd"/>
      <w:r>
        <w:rPr>
          <w:color w:val="000000"/>
        </w:rPr>
        <w:t xml:space="preserve"> goes some way to explain the statistic that just 1 in 3 primary school graduates in Africa make it to secondary school (</w:t>
      </w:r>
      <w:r>
        <w:rPr>
          <w:b/>
          <w:color w:val="000000"/>
        </w:rPr>
        <w:t>PEAS</w:t>
      </w:r>
      <w:r>
        <w:rPr>
          <w:color w:val="000000"/>
        </w:rPr>
        <w:t xml:space="preserve">, 2018). </w:t>
      </w:r>
    </w:p>
    <w:p w14:paraId="00000005" w14:textId="77777777" w:rsidR="00FD785A" w:rsidRDefault="0045158F">
      <w:pPr>
        <w:widowControl w:val="0"/>
        <w:pBdr>
          <w:top w:val="nil"/>
          <w:left w:val="nil"/>
          <w:bottom w:val="nil"/>
          <w:right w:val="nil"/>
          <w:between w:val="nil"/>
        </w:pBdr>
        <w:spacing w:before="360"/>
        <w:ind w:right="249"/>
        <w:jc w:val="both"/>
        <w:rPr>
          <w:color w:val="000000"/>
        </w:rPr>
      </w:pPr>
      <w:r>
        <w:rPr>
          <w:color w:val="000000"/>
        </w:rPr>
        <w:t xml:space="preserve">As mentioned, </w:t>
      </w:r>
      <w:r>
        <w:rPr>
          <w:b/>
          <w:color w:val="000000"/>
        </w:rPr>
        <w:t xml:space="preserve">overcrowding </w:t>
      </w:r>
      <w:r>
        <w:rPr>
          <w:color w:val="000000"/>
        </w:rPr>
        <w:t xml:space="preserve">is just one of several factors that prevent </w:t>
      </w:r>
      <w:proofErr w:type="spellStart"/>
      <w:r>
        <w:rPr>
          <w:color w:val="000000"/>
        </w:rPr>
        <w:t>Nakivale</w:t>
      </w:r>
      <w:proofErr w:type="spellEnd"/>
      <w:r>
        <w:rPr>
          <w:color w:val="000000"/>
        </w:rPr>
        <w:t xml:space="preserve"> residents from attending secondary school. The significant </w:t>
      </w:r>
      <w:r>
        <w:rPr>
          <w:b/>
          <w:color w:val="000000"/>
        </w:rPr>
        <w:t xml:space="preserve">distance </w:t>
      </w:r>
      <w:r>
        <w:rPr>
          <w:color w:val="000000"/>
        </w:rPr>
        <w:t>of the school to many students’ places of residence across the 185km</w:t>
      </w:r>
      <w:r>
        <w:rPr>
          <w:color w:val="000000"/>
          <w:sz w:val="10"/>
          <w:szCs w:val="10"/>
        </w:rPr>
        <w:t xml:space="preserve">2 </w:t>
      </w:r>
      <w:r>
        <w:rPr>
          <w:color w:val="000000"/>
        </w:rPr>
        <w:t>settlement makes travel laborious and potentially dangerous, therefore, some have to choose between endangering themselves while travelling long distances and not attending school (</w:t>
      </w:r>
      <w:r>
        <w:rPr>
          <w:b/>
          <w:color w:val="000000"/>
        </w:rPr>
        <w:t>Windle</w:t>
      </w:r>
      <w:r>
        <w:rPr>
          <w:color w:val="000000"/>
        </w:rPr>
        <w:t xml:space="preserve">, 2016). </w:t>
      </w:r>
    </w:p>
    <w:p w14:paraId="00000006" w14:textId="77777777" w:rsidR="00FD785A" w:rsidRDefault="0045158F">
      <w:pPr>
        <w:widowControl w:val="0"/>
        <w:pBdr>
          <w:top w:val="nil"/>
          <w:left w:val="nil"/>
          <w:bottom w:val="nil"/>
          <w:right w:val="nil"/>
          <w:between w:val="nil"/>
        </w:pBdr>
        <w:spacing w:before="364"/>
        <w:ind w:right="43"/>
        <w:jc w:val="both"/>
        <w:rPr>
          <w:color w:val="000000"/>
        </w:rPr>
      </w:pPr>
      <w:r>
        <w:rPr>
          <w:color w:val="000000"/>
        </w:rPr>
        <w:t xml:space="preserve">Furthermore, the most commonly reported reason preventing children in </w:t>
      </w:r>
      <w:proofErr w:type="spellStart"/>
      <w:r>
        <w:rPr>
          <w:color w:val="000000"/>
        </w:rPr>
        <w:t>Nakivale</w:t>
      </w:r>
      <w:proofErr w:type="spellEnd"/>
      <w:r>
        <w:rPr>
          <w:color w:val="000000"/>
        </w:rPr>
        <w:t xml:space="preserve"> settlement from attending school is </w:t>
      </w:r>
      <w:r>
        <w:rPr>
          <w:b/>
          <w:color w:val="000000"/>
        </w:rPr>
        <w:t>high cost</w:t>
      </w:r>
      <w:r>
        <w:rPr>
          <w:color w:val="000000"/>
        </w:rPr>
        <w:t xml:space="preserve">, accounting for 48% of </w:t>
      </w:r>
      <w:proofErr w:type="gramStart"/>
      <w:r>
        <w:rPr>
          <w:color w:val="000000"/>
        </w:rPr>
        <w:t>inhabitants</w:t>
      </w:r>
      <w:proofErr w:type="gramEnd"/>
      <w:r>
        <w:rPr>
          <w:color w:val="000000"/>
        </w:rPr>
        <w:t xml:space="preserve"> reasons for not attending (</w:t>
      </w:r>
      <w:r>
        <w:rPr>
          <w:b/>
          <w:color w:val="000000"/>
        </w:rPr>
        <w:t>UNHCR REACH</w:t>
      </w:r>
      <w:r>
        <w:rPr>
          <w:color w:val="000000"/>
        </w:rPr>
        <w:t xml:space="preserve">, August 2018). Students in the settlement have reported struggling to pay school fees which are only the start of the expenses related to paying for schooling (UNHCR, June 2018). Education usually requires a compulsory </w:t>
      </w:r>
      <w:r>
        <w:rPr>
          <w:b/>
          <w:color w:val="000000"/>
        </w:rPr>
        <w:t xml:space="preserve">uniform </w:t>
      </w:r>
      <w:r>
        <w:rPr>
          <w:color w:val="000000"/>
        </w:rPr>
        <w:t xml:space="preserve">and self- provision of some scholastics, making education additionally unattainable for the poorest (UNHCR REACH, August 2018). Though scholarships should be available to refugees in order to make secondary education possible for them, refugees have reported finding scholarships difficult to access, meaning that they either never enrol at secondary school or are unable to continue and have to leave education. </w:t>
      </w:r>
    </w:p>
    <w:p w14:paraId="00000007" w14:textId="77777777" w:rsidR="00FD785A" w:rsidRDefault="0045158F">
      <w:pPr>
        <w:widowControl w:val="0"/>
        <w:pBdr>
          <w:top w:val="nil"/>
          <w:left w:val="nil"/>
          <w:bottom w:val="nil"/>
          <w:right w:val="nil"/>
          <w:between w:val="nil"/>
        </w:pBdr>
        <w:spacing w:before="364"/>
        <w:ind w:right="48"/>
        <w:jc w:val="both"/>
        <w:rPr>
          <w:color w:val="000000"/>
        </w:rPr>
      </w:pPr>
      <w:r>
        <w:rPr>
          <w:color w:val="000000"/>
        </w:rPr>
        <w:t xml:space="preserve">In addition to the lack of secondary schooling opportunities in the settlement, there is also a complete absence of </w:t>
      </w:r>
      <w:r>
        <w:rPr>
          <w:b/>
          <w:color w:val="000000"/>
        </w:rPr>
        <w:t xml:space="preserve">Accelerated Learning Programmes </w:t>
      </w:r>
      <w:r>
        <w:rPr>
          <w:color w:val="000000"/>
        </w:rPr>
        <w:t xml:space="preserve">(ALP’s) and severely inadequate presence of </w:t>
      </w:r>
      <w:r>
        <w:rPr>
          <w:b/>
          <w:color w:val="000000"/>
        </w:rPr>
        <w:t>vocational training</w:t>
      </w:r>
      <w:r>
        <w:rPr>
          <w:color w:val="000000"/>
        </w:rPr>
        <w:t>, which could help inhabitants to find jobs or start businesses. This further demonstrates the lack of opportunity available to the settlement’s inhabitants and perhaps explains why it has adopted the name ‘the forgotten settlement’. Given this, it is easily explainable why youth idleness and feelings of hopelessness and low self-worth are rife within the settlement (</w:t>
      </w:r>
      <w:r>
        <w:rPr>
          <w:b/>
          <w:color w:val="000000"/>
        </w:rPr>
        <w:t>Rotary International</w:t>
      </w:r>
      <w:r>
        <w:rPr>
          <w:color w:val="000000"/>
        </w:rPr>
        <w:t xml:space="preserve">, 2018). </w:t>
      </w:r>
    </w:p>
    <w:p w14:paraId="00000008" w14:textId="77777777" w:rsidR="00FD785A" w:rsidRDefault="0045158F">
      <w:pPr>
        <w:widowControl w:val="0"/>
        <w:pBdr>
          <w:top w:val="nil"/>
          <w:left w:val="nil"/>
          <w:bottom w:val="nil"/>
          <w:right w:val="nil"/>
          <w:between w:val="nil"/>
        </w:pBdr>
        <w:spacing w:before="364"/>
        <w:ind w:right="67"/>
        <w:jc w:val="both"/>
        <w:rPr>
          <w:color w:val="000000"/>
        </w:rPr>
      </w:pPr>
      <w:r>
        <w:rPr>
          <w:color w:val="000000"/>
        </w:rPr>
        <w:t xml:space="preserve">Alongside lack of secondary education opportunities for </w:t>
      </w:r>
      <w:proofErr w:type="spellStart"/>
      <w:r>
        <w:rPr>
          <w:color w:val="000000"/>
        </w:rPr>
        <w:t>Nakivale</w:t>
      </w:r>
      <w:proofErr w:type="spellEnd"/>
      <w:r>
        <w:rPr>
          <w:color w:val="000000"/>
        </w:rPr>
        <w:t xml:space="preserve"> inhabitants, the people of the settlement face further issues that affect their livelihoods. Firstly, reports suggesting the </w:t>
      </w:r>
      <w:proofErr w:type="spellStart"/>
      <w:r>
        <w:rPr>
          <w:color w:val="000000"/>
        </w:rPr>
        <w:lastRenderedPageBreak/>
        <w:t>prevalance</w:t>
      </w:r>
      <w:proofErr w:type="spellEnd"/>
      <w:r>
        <w:rPr>
          <w:color w:val="000000"/>
        </w:rPr>
        <w:t xml:space="preserve"> of </w:t>
      </w:r>
      <w:r>
        <w:rPr>
          <w:b/>
          <w:color w:val="000000"/>
        </w:rPr>
        <w:t xml:space="preserve">rape and sexual assault </w:t>
      </w:r>
      <w:r>
        <w:rPr>
          <w:color w:val="000000"/>
        </w:rPr>
        <w:t>of women and girls in the settlement may be having devastating consequences for the self-worth, health and social standing of local women (</w:t>
      </w:r>
      <w:proofErr w:type="gramStart"/>
      <w:r>
        <w:rPr>
          <w:color w:val="000000"/>
        </w:rPr>
        <w:t>UNHCR ,</w:t>
      </w:r>
      <w:proofErr w:type="gramEnd"/>
      <w:r>
        <w:rPr>
          <w:color w:val="000000"/>
        </w:rPr>
        <w:t xml:space="preserve"> 2018). With this in mind, a further secondary school, providing more opportunities for female education, can </w:t>
      </w:r>
      <w:r>
        <w:rPr>
          <w:b/>
          <w:color w:val="000000"/>
        </w:rPr>
        <w:t xml:space="preserve">promote women’s rights and female empowerment </w:t>
      </w:r>
      <w:r>
        <w:rPr>
          <w:color w:val="000000"/>
        </w:rPr>
        <w:t xml:space="preserve">as well as increasing the chances of women progressing into formal employment and improving their prospects while potentially impacting the wider community’s perspective on women. </w:t>
      </w:r>
    </w:p>
    <w:p w14:paraId="00000009" w14:textId="77777777" w:rsidR="00FD785A" w:rsidRDefault="0045158F">
      <w:pPr>
        <w:widowControl w:val="0"/>
        <w:pBdr>
          <w:top w:val="nil"/>
          <w:left w:val="nil"/>
          <w:bottom w:val="nil"/>
          <w:right w:val="nil"/>
          <w:between w:val="nil"/>
        </w:pBdr>
        <w:spacing w:before="360"/>
        <w:ind w:right="196"/>
        <w:jc w:val="both"/>
        <w:rPr>
          <w:color w:val="000000"/>
        </w:rPr>
      </w:pPr>
      <w:r>
        <w:rPr>
          <w:color w:val="000000"/>
        </w:rPr>
        <w:t xml:space="preserve">Furthermore, regular </w:t>
      </w:r>
      <w:r>
        <w:rPr>
          <w:b/>
          <w:color w:val="000000"/>
        </w:rPr>
        <w:t xml:space="preserve">droughts </w:t>
      </w:r>
      <w:r>
        <w:rPr>
          <w:color w:val="000000"/>
        </w:rPr>
        <w:t xml:space="preserve">hamper </w:t>
      </w:r>
      <w:proofErr w:type="gramStart"/>
      <w:r>
        <w:rPr>
          <w:color w:val="000000"/>
        </w:rPr>
        <w:t>inhabitants</w:t>
      </w:r>
      <w:proofErr w:type="gramEnd"/>
      <w:r>
        <w:rPr>
          <w:color w:val="000000"/>
        </w:rPr>
        <w:t xml:space="preserve"> ability to make money given a common income source is agriculture. More education in the settlement could promote </w:t>
      </w:r>
      <w:r>
        <w:rPr>
          <w:b/>
          <w:color w:val="000000"/>
        </w:rPr>
        <w:t>innovation and entrepreneurialism</w:t>
      </w:r>
      <w:r>
        <w:rPr>
          <w:color w:val="000000"/>
        </w:rPr>
        <w:t xml:space="preserve">, leading to the creation of new businesses providing jobs and the </w:t>
      </w:r>
      <w:r>
        <w:rPr>
          <w:b/>
          <w:color w:val="000000"/>
        </w:rPr>
        <w:t xml:space="preserve">diversification </w:t>
      </w:r>
      <w:r>
        <w:rPr>
          <w:color w:val="000000"/>
        </w:rPr>
        <w:t xml:space="preserve">of the settlement’s economy, offering perhaps more stable income sources as well as improving the lives of those with </w:t>
      </w:r>
      <w:r>
        <w:rPr>
          <w:b/>
          <w:color w:val="000000"/>
        </w:rPr>
        <w:t xml:space="preserve">disabilities </w:t>
      </w:r>
      <w:r>
        <w:rPr>
          <w:color w:val="000000"/>
        </w:rPr>
        <w:t xml:space="preserve">making them unable to work in manual labour roles (UNHCR, 2017). In addition, this could help to resolve </w:t>
      </w:r>
      <w:r>
        <w:rPr>
          <w:b/>
          <w:color w:val="000000"/>
        </w:rPr>
        <w:t xml:space="preserve">land disputes </w:t>
      </w:r>
      <w:r>
        <w:rPr>
          <w:color w:val="000000"/>
        </w:rPr>
        <w:t xml:space="preserve">with the host population which have led to discrimination and, at times, violence against refugees. </w:t>
      </w:r>
    </w:p>
    <w:p w14:paraId="0000000A" w14:textId="77777777" w:rsidR="00FD785A" w:rsidRDefault="0045158F">
      <w:pPr>
        <w:widowControl w:val="0"/>
        <w:pBdr>
          <w:top w:val="nil"/>
          <w:left w:val="nil"/>
          <w:bottom w:val="nil"/>
          <w:right w:val="nil"/>
          <w:between w:val="nil"/>
        </w:pBdr>
        <w:spacing w:before="360"/>
        <w:ind w:right="576"/>
        <w:jc w:val="both"/>
        <w:rPr>
          <w:color w:val="000000"/>
        </w:rPr>
      </w:pPr>
      <w:r>
        <w:rPr>
          <w:color w:val="000000"/>
        </w:rPr>
        <w:t xml:space="preserve">Lastly, the provision of a </w:t>
      </w:r>
      <w:r>
        <w:rPr>
          <w:b/>
          <w:color w:val="000000"/>
        </w:rPr>
        <w:t xml:space="preserve">school meal </w:t>
      </w:r>
      <w:r>
        <w:rPr>
          <w:color w:val="000000"/>
        </w:rPr>
        <w:t xml:space="preserve">could alleviate some of the food insecurity in the district which causes many households to reduce meal sizes and frequency (UNHCR REACH, 2018). </w:t>
      </w:r>
    </w:p>
    <w:p w14:paraId="0000000B" w14:textId="77777777" w:rsidR="00FD785A" w:rsidRDefault="0045158F">
      <w:pPr>
        <w:widowControl w:val="0"/>
        <w:pBdr>
          <w:top w:val="nil"/>
          <w:left w:val="nil"/>
          <w:bottom w:val="nil"/>
          <w:right w:val="nil"/>
          <w:between w:val="nil"/>
        </w:pBdr>
        <w:spacing w:before="360"/>
        <w:ind w:right="211"/>
        <w:jc w:val="both"/>
        <w:rPr>
          <w:color w:val="000000"/>
        </w:rPr>
      </w:pPr>
      <w:r>
        <w:rPr>
          <w:color w:val="000000"/>
        </w:rPr>
        <w:t xml:space="preserve">By improving the secondary education scene in </w:t>
      </w:r>
      <w:proofErr w:type="spellStart"/>
      <w:r>
        <w:rPr>
          <w:color w:val="000000"/>
        </w:rPr>
        <w:t>Nakivale</w:t>
      </w:r>
      <w:proofErr w:type="spellEnd"/>
      <w:r>
        <w:rPr>
          <w:color w:val="000000"/>
        </w:rPr>
        <w:t xml:space="preserve">, it may take pressure off of the single secondary school in the </w:t>
      </w:r>
      <w:r>
        <w:rPr>
          <w:b/>
          <w:color w:val="000000"/>
        </w:rPr>
        <w:t xml:space="preserve">neighbouring </w:t>
      </w:r>
      <w:proofErr w:type="spellStart"/>
      <w:r>
        <w:rPr>
          <w:b/>
          <w:color w:val="000000"/>
        </w:rPr>
        <w:t>Oruchinga</w:t>
      </w:r>
      <w:proofErr w:type="spellEnd"/>
      <w:r>
        <w:rPr>
          <w:b/>
          <w:color w:val="000000"/>
        </w:rPr>
        <w:t xml:space="preserve"> settlement </w:t>
      </w:r>
      <w:r>
        <w:rPr>
          <w:color w:val="000000"/>
        </w:rPr>
        <w:t xml:space="preserve">as well as lessening the journey some students must make to attend a school. In </w:t>
      </w:r>
      <w:proofErr w:type="spellStart"/>
      <w:r>
        <w:rPr>
          <w:color w:val="000000"/>
        </w:rPr>
        <w:t>Oruchinga</w:t>
      </w:r>
      <w:proofErr w:type="spellEnd"/>
      <w:r>
        <w:rPr>
          <w:color w:val="000000"/>
        </w:rPr>
        <w:t xml:space="preserve"> there are 3 primary schools and one secondary for the settlement’s 1,182 children aged 12-17. Meanwhile, steep tuition fees, long distances and lack of scholastic materials and necessities prevent </w:t>
      </w:r>
      <w:proofErr w:type="spellStart"/>
      <w:r>
        <w:rPr>
          <w:color w:val="000000"/>
        </w:rPr>
        <w:t>Oruchinga</w:t>
      </w:r>
      <w:proofErr w:type="spellEnd"/>
      <w:r>
        <w:rPr>
          <w:color w:val="000000"/>
        </w:rPr>
        <w:t xml:space="preserve"> secondary-aged inhabitants from accessing schools. Furthermore, the only vocational training scheme in the settlement was cancelled in 2017 and locals in the </w:t>
      </w:r>
      <w:proofErr w:type="spellStart"/>
      <w:r>
        <w:rPr>
          <w:color w:val="000000"/>
        </w:rPr>
        <w:t>Oruchinga</w:t>
      </w:r>
      <w:proofErr w:type="spellEnd"/>
      <w:r>
        <w:rPr>
          <w:color w:val="000000"/>
        </w:rPr>
        <w:t xml:space="preserve"> settlement expressed an interest in learning skills that would allow them to diversify their economy and hence cope with the droughts that damage their income from agriculture (UNHCR, 2017). </w:t>
      </w:r>
    </w:p>
    <w:p w14:paraId="0000000C" w14:textId="77777777" w:rsidR="00FD785A" w:rsidRDefault="0045158F">
      <w:pPr>
        <w:widowControl w:val="0"/>
        <w:pBdr>
          <w:top w:val="nil"/>
          <w:left w:val="nil"/>
          <w:bottom w:val="nil"/>
          <w:right w:val="nil"/>
          <w:between w:val="nil"/>
        </w:pBdr>
        <w:spacing w:before="364"/>
        <w:ind w:right="52"/>
        <w:jc w:val="both"/>
        <w:rPr>
          <w:color w:val="1155CC"/>
        </w:rPr>
      </w:pPr>
      <w:r>
        <w:rPr>
          <w:color w:val="000000"/>
        </w:rPr>
        <w:t xml:space="preserve">In all this overview paints a picture of the depleted opportunities available to young refugees in the entire </w:t>
      </w:r>
      <w:proofErr w:type="spellStart"/>
      <w:r>
        <w:rPr>
          <w:color w:val="000000"/>
        </w:rPr>
        <w:t>Isingiro</w:t>
      </w:r>
      <w:proofErr w:type="spellEnd"/>
      <w:r>
        <w:rPr>
          <w:color w:val="000000"/>
        </w:rPr>
        <w:t xml:space="preserve"> district. Consequently, it would be beneficial to build an additional secondary school in the </w:t>
      </w:r>
      <w:proofErr w:type="spellStart"/>
      <w:r>
        <w:rPr>
          <w:color w:val="000000"/>
        </w:rPr>
        <w:t>Nakivale</w:t>
      </w:r>
      <w:proofErr w:type="spellEnd"/>
      <w:r>
        <w:rPr>
          <w:color w:val="000000"/>
        </w:rPr>
        <w:t xml:space="preserve"> settlement of </w:t>
      </w:r>
      <w:proofErr w:type="spellStart"/>
      <w:r>
        <w:rPr>
          <w:color w:val="000000"/>
        </w:rPr>
        <w:t>Isingiro</w:t>
      </w:r>
      <w:proofErr w:type="spellEnd"/>
      <w:r>
        <w:rPr>
          <w:color w:val="000000"/>
        </w:rPr>
        <w:t xml:space="preserve">. </w:t>
      </w:r>
      <w:r>
        <w:rPr>
          <w:b/>
          <w:color w:val="000000"/>
        </w:rPr>
        <w:t xml:space="preserve">Windle </w:t>
      </w:r>
      <w:r>
        <w:rPr>
          <w:color w:val="000000"/>
        </w:rPr>
        <w:t xml:space="preserve">reported that the </w:t>
      </w:r>
      <w:proofErr w:type="spellStart"/>
      <w:r>
        <w:rPr>
          <w:color w:val="000000"/>
        </w:rPr>
        <w:t>Rubondo</w:t>
      </w:r>
      <w:proofErr w:type="spellEnd"/>
      <w:r>
        <w:rPr>
          <w:color w:val="000000"/>
        </w:rPr>
        <w:t xml:space="preserve"> area of </w:t>
      </w:r>
      <w:proofErr w:type="spellStart"/>
      <w:r>
        <w:rPr>
          <w:color w:val="000000"/>
        </w:rPr>
        <w:t>Nakivale</w:t>
      </w:r>
      <w:proofErr w:type="spellEnd"/>
      <w:r>
        <w:rPr>
          <w:color w:val="000000"/>
        </w:rPr>
        <w:t xml:space="preserve"> had previously expressed interest in hosting a newly built secondary school (2016). </w:t>
      </w:r>
    </w:p>
    <w:sectPr w:rsidR="00FD785A">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5C77" w14:textId="77777777" w:rsidR="00C1040D" w:rsidRDefault="00C1040D">
      <w:pPr>
        <w:spacing w:line="240" w:lineRule="auto"/>
      </w:pPr>
      <w:r>
        <w:separator/>
      </w:r>
    </w:p>
  </w:endnote>
  <w:endnote w:type="continuationSeparator" w:id="0">
    <w:p w14:paraId="44DC8B14" w14:textId="77777777" w:rsidR="00C1040D" w:rsidRDefault="00C104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8988" w14:textId="77777777" w:rsidR="00C1040D" w:rsidRDefault="00C1040D">
      <w:pPr>
        <w:spacing w:line="240" w:lineRule="auto"/>
      </w:pPr>
      <w:r>
        <w:separator/>
      </w:r>
    </w:p>
  </w:footnote>
  <w:footnote w:type="continuationSeparator" w:id="0">
    <w:p w14:paraId="04CE2684" w14:textId="77777777" w:rsidR="00C1040D" w:rsidRDefault="00C104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FD785A" w:rsidRDefault="00FD785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85A"/>
    <w:rsid w:val="0045158F"/>
    <w:rsid w:val="00520B0B"/>
    <w:rsid w:val="00C1040D"/>
    <w:rsid w:val="00E803BF"/>
    <w:rsid w:val="00FD7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71C9AC-E402-A84B-A769-9483866C9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865</Words>
  <Characters>4935</Characters>
  <Application>Microsoft Office Word</Application>
  <DocSecurity>0</DocSecurity>
  <Lines>41</Lines>
  <Paragraphs>11</Paragraphs>
  <ScaleCrop>false</ScaleCrop>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Dennis Akaa</cp:lastModifiedBy>
  <cp:revision>2</cp:revision>
  <dcterms:created xsi:type="dcterms:W3CDTF">2019-12-04T15:32:00Z</dcterms:created>
  <dcterms:modified xsi:type="dcterms:W3CDTF">2019-12-04T15:32:00Z</dcterms:modified>
</cp:coreProperties>
</file>